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>
      <w:pPr>
        <w:jc w:val="center"/>
        <w:rPr>
          <w:rFonts w:ascii="微软雅黑" w:hAnsi="微软雅黑" w:eastAsia="微软雅黑" w:cs="微软雅黑"/>
          <w:b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</w:rPr>
        <w:t>材料科学与工程学院课堂教学比赛评分表</w:t>
      </w:r>
    </w:p>
    <w:p>
      <w:pPr>
        <w:snapToGrid w:val="0"/>
        <w:jc w:val="center"/>
        <w:rPr>
          <w:rFonts w:ascii="黑体" w:hAnsi="黑体" w:eastAsia="黑体"/>
          <w:b/>
          <w:sz w:val="30"/>
          <w:szCs w:val="30"/>
        </w:rPr>
      </w:pPr>
    </w:p>
    <w:tbl>
      <w:tblPr>
        <w:tblStyle w:val="9"/>
        <w:tblW w:w="92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993"/>
        <w:gridCol w:w="5953"/>
        <w:gridCol w:w="11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宋体" w:cs="Times New Roman"/>
                <w:b/>
                <w:kern w:val="0"/>
                <w:sz w:val="28"/>
                <w:szCs w:val="28"/>
              </w:rPr>
              <w:t>项目</w:t>
            </w:r>
          </w:p>
        </w:tc>
        <w:tc>
          <w:tcPr>
            <w:tcW w:w="69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宋体" w:cs="Times New Roman"/>
                <w:b/>
                <w:kern w:val="0"/>
                <w:sz w:val="28"/>
                <w:szCs w:val="28"/>
              </w:rPr>
              <w:t>评测</w:t>
            </w:r>
            <w:r>
              <w:rPr>
                <w:rFonts w:hint="eastAsia" w:ascii="Times New Roman" w:hAnsi="宋体" w:cs="Times New Roman"/>
                <w:b/>
                <w:kern w:val="0"/>
                <w:sz w:val="28"/>
                <w:szCs w:val="28"/>
              </w:rPr>
              <w:t>点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Times New Roman"/>
                <w:b/>
                <w:kern w:val="0"/>
                <w:sz w:val="24"/>
                <w:szCs w:val="24"/>
              </w:rPr>
              <w:t>得</w:t>
            </w:r>
            <w:r>
              <w:rPr>
                <w:rFonts w:ascii="Times New Roman" w:hAnsi="宋体" w:cs="Times New Roman"/>
                <w:b/>
                <w:kern w:val="0"/>
                <w:sz w:val="24"/>
                <w:szCs w:val="24"/>
              </w:rPr>
              <w:t>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8" w:hRule="atLeast"/>
          <w:jc w:val="center"/>
        </w:trPr>
        <w:tc>
          <w:tcPr>
            <w:tcW w:w="1129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b/>
                <w:kern w:val="0"/>
                <w:sz w:val="28"/>
                <w:szCs w:val="28"/>
              </w:rPr>
              <w:t>课程</w:t>
            </w:r>
            <w:r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  <w:t xml:space="preserve">       </w:t>
            </w:r>
            <w:r>
              <w:rPr>
                <w:rFonts w:ascii="Times New Roman" w:hAnsi="仿宋" w:eastAsia="仿宋" w:cs="Times New Roman"/>
                <w:b/>
                <w:kern w:val="0"/>
                <w:sz w:val="28"/>
                <w:szCs w:val="28"/>
              </w:rPr>
              <w:t>设计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  <w:t>30</w:t>
            </w:r>
            <w:r>
              <w:rPr>
                <w:rFonts w:ascii="Times New Roman" w:hAnsi="仿宋" w:eastAsia="仿宋" w:cs="Times New Roman"/>
                <w:b/>
                <w:kern w:val="0"/>
                <w:sz w:val="28"/>
                <w:szCs w:val="28"/>
              </w:rPr>
              <w:t>分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eastAsia" w:ascii="Times New Roman" w:hAnsi="仿宋" w:eastAsia="仿宋" w:cs="Times New Roman"/>
                <w:kern w:val="0"/>
                <w:sz w:val="24"/>
              </w:rPr>
              <w:t>1、</w:t>
            </w:r>
            <w:r>
              <w:rPr>
                <w:rFonts w:ascii="Times New Roman" w:hAnsi="仿宋" w:eastAsia="仿宋" w:cs="Times New Roman"/>
                <w:kern w:val="0"/>
                <w:sz w:val="24"/>
              </w:rPr>
              <w:t>课程目标明确</w:t>
            </w:r>
            <w:r>
              <w:rPr>
                <w:rFonts w:hint="eastAsia" w:ascii="Times New Roman" w:hAnsi="仿宋" w:eastAsia="仿宋" w:cs="Times New Roman"/>
                <w:kern w:val="0"/>
                <w:sz w:val="24"/>
              </w:rPr>
              <w:t>；</w:t>
            </w:r>
          </w:p>
          <w:p>
            <w:pPr>
              <w:spacing w:line="480" w:lineRule="exact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eastAsia" w:ascii="Times New Roman" w:hAnsi="仿宋" w:eastAsia="仿宋" w:cs="Times New Roman"/>
                <w:kern w:val="0"/>
                <w:sz w:val="24"/>
              </w:rPr>
              <w:t>2、课程与</w:t>
            </w:r>
            <w:r>
              <w:rPr>
                <w:rFonts w:ascii="Times New Roman" w:hAnsi="仿宋" w:eastAsia="仿宋" w:cs="Times New Roman"/>
                <w:kern w:val="0"/>
                <w:sz w:val="24"/>
              </w:rPr>
              <w:t>教学大纲吻合，且反映学科前沿</w:t>
            </w:r>
            <w:r>
              <w:rPr>
                <w:rFonts w:hint="eastAsia" w:ascii="Times New Roman" w:hAnsi="仿宋" w:eastAsia="仿宋" w:cs="Times New Roman"/>
                <w:kern w:val="0"/>
                <w:sz w:val="24"/>
              </w:rPr>
              <w:t>；</w:t>
            </w:r>
          </w:p>
          <w:p>
            <w:pPr>
              <w:spacing w:line="480" w:lineRule="exact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仿宋" w:eastAsia="仿宋" w:cs="Times New Roman"/>
                <w:kern w:val="0"/>
                <w:sz w:val="24"/>
              </w:rPr>
              <w:t>3</w:t>
            </w:r>
            <w:r>
              <w:rPr>
                <w:rFonts w:hint="eastAsia" w:ascii="Times New Roman" w:hAnsi="仿宋" w:eastAsia="仿宋" w:cs="Times New Roman"/>
                <w:kern w:val="0"/>
                <w:sz w:val="24"/>
              </w:rPr>
              <w:t>、</w:t>
            </w:r>
            <w:r>
              <w:rPr>
                <w:rFonts w:ascii="Times New Roman" w:hAnsi="仿宋" w:eastAsia="仿宋" w:cs="Times New Roman"/>
                <w:kern w:val="0"/>
                <w:sz w:val="24"/>
              </w:rPr>
              <w:t>准确把握课程的重点和难点</w:t>
            </w:r>
            <w:r>
              <w:rPr>
                <w:rFonts w:hint="eastAsia" w:ascii="Times New Roman" w:hAnsi="仿宋" w:eastAsia="仿宋" w:cs="Times New Roman"/>
                <w:kern w:val="0"/>
                <w:sz w:val="24"/>
              </w:rPr>
              <w:t>；</w:t>
            </w:r>
          </w:p>
          <w:p>
            <w:pPr>
              <w:spacing w:line="480" w:lineRule="exact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仿宋" w:eastAsia="仿宋" w:cs="Times New Roman"/>
                <w:kern w:val="0"/>
                <w:sz w:val="24"/>
              </w:rPr>
              <w:t>4</w:t>
            </w:r>
            <w:r>
              <w:rPr>
                <w:rFonts w:hint="eastAsia" w:ascii="Times New Roman" w:hAnsi="仿宋" w:eastAsia="仿宋" w:cs="Times New Roman"/>
                <w:kern w:val="0"/>
                <w:sz w:val="24"/>
              </w:rPr>
              <w:t>、</w:t>
            </w:r>
            <w:r>
              <w:rPr>
                <w:rFonts w:ascii="Times New Roman" w:hAnsi="仿宋" w:eastAsia="仿宋" w:cs="Times New Roman"/>
                <w:kern w:val="0"/>
                <w:sz w:val="24"/>
              </w:rPr>
              <w:t>教学进程组织合理，方法手段运用恰当有效，合理地融入课程思政点</w:t>
            </w:r>
            <w:r>
              <w:rPr>
                <w:rFonts w:hint="eastAsia" w:ascii="Times New Roman" w:hAnsi="仿宋" w:eastAsia="仿宋" w:cs="Times New Roman"/>
                <w:kern w:val="0"/>
                <w:sz w:val="24"/>
              </w:rPr>
              <w:t>；</w:t>
            </w:r>
          </w:p>
        </w:tc>
        <w:tc>
          <w:tcPr>
            <w:tcW w:w="1140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atLeast"/>
          <w:jc w:val="center"/>
        </w:trPr>
        <w:tc>
          <w:tcPr>
            <w:tcW w:w="112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仿宋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b/>
                <w:kern w:val="0"/>
                <w:sz w:val="28"/>
                <w:szCs w:val="28"/>
              </w:rPr>
              <w:t>课堂</w:t>
            </w:r>
          </w:p>
          <w:p>
            <w:pPr>
              <w:spacing w:line="480" w:lineRule="exact"/>
              <w:jc w:val="center"/>
              <w:rPr>
                <w:rFonts w:ascii="Times New Roman" w:hAnsi="仿宋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b/>
                <w:kern w:val="0"/>
                <w:sz w:val="28"/>
                <w:szCs w:val="28"/>
              </w:rPr>
              <w:t>教学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ascii="Times New Roman" w:hAnsi="仿宋" w:eastAsia="仿宋" w:cs="Times New Roman"/>
                <w:b/>
                <w:kern w:val="0"/>
                <w:sz w:val="28"/>
                <w:szCs w:val="28"/>
              </w:rPr>
              <w:t>70分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仿宋" w:eastAsia="仿宋" w:cs="Times New Roman"/>
                <w:kern w:val="0"/>
                <w:sz w:val="24"/>
              </w:rPr>
              <w:t>教学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仿宋" w:eastAsia="仿宋" w:cs="Times New Roman"/>
                <w:kern w:val="0"/>
                <w:sz w:val="24"/>
              </w:rPr>
              <w:t>内容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25</w:t>
            </w:r>
            <w:r>
              <w:rPr>
                <w:rFonts w:ascii="Times New Roman" w:hAnsi="仿宋" w:eastAsia="仿宋" w:cs="Times New Roman"/>
                <w:kern w:val="0"/>
                <w:sz w:val="24"/>
              </w:rPr>
              <w:t>分</w:t>
            </w:r>
          </w:p>
        </w:tc>
        <w:tc>
          <w:tcPr>
            <w:tcW w:w="5953" w:type="dxa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rPr>
                <w:rFonts w:ascii="Times New Roman" w:hAnsi="仿宋" w:eastAsia="仿宋" w:cs="Times New Roman"/>
                <w:kern w:val="0"/>
                <w:sz w:val="24"/>
              </w:rPr>
            </w:pPr>
            <w:r>
              <w:rPr>
                <w:rFonts w:hint="eastAsia" w:ascii="Times New Roman" w:hAnsi="仿宋" w:eastAsia="仿宋" w:cs="Times New Roman"/>
                <w:kern w:val="0"/>
                <w:sz w:val="24"/>
              </w:rPr>
              <w:t>1、</w:t>
            </w:r>
            <w:r>
              <w:rPr>
                <w:rFonts w:ascii="Times New Roman" w:hAnsi="仿宋" w:eastAsia="仿宋" w:cs="Times New Roman"/>
                <w:kern w:val="0"/>
                <w:sz w:val="24"/>
              </w:rPr>
              <w:t>反映或联系学科发展新思想、新概念、新成果，理论联系实际</w:t>
            </w:r>
            <w:r>
              <w:rPr>
                <w:rFonts w:hint="eastAsia" w:ascii="Times New Roman" w:hAnsi="仿宋" w:eastAsia="仿宋" w:cs="Times New Roman"/>
                <w:kern w:val="0"/>
                <w:sz w:val="24"/>
              </w:rPr>
              <w:t>；</w:t>
            </w:r>
          </w:p>
          <w:p>
            <w:pPr>
              <w:spacing w:line="480" w:lineRule="exact"/>
              <w:rPr>
                <w:rFonts w:ascii="Times New Roman" w:hAnsi="仿宋" w:eastAsia="仿宋" w:cs="Times New Roman"/>
                <w:kern w:val="0"/>
                <w:sz w:val="24"/>
              </w:rPr>
            </w:pPr>
            <w:r>
              <w:rPr>
                <w:rFonts w:ascii="Times New Roman" w:hAnsi="仿宋" w:eastAsia="仿宋" w:cs="Times New Roman"/>
                <w:kern w:val="0"/>
                <w:sz w:val="24"/>
              </w:rPr>
              <w:t>2</w:t>
            </w:r>
            <w:r>
              <w:rPr>
                <w:rFonts w:hint="eastAsia" w:ascii="Times New Roman" w:hAnsi="仿宋" w:eastAsia="仿宋" w:cs="Times New Roman"/>
                <w:kern w:val="0"/>
                <w:sz w:val="24"/>
              </w:rPr>
              <w:t>、</w:t>
            </w:r>
            <w:r>
              <w:rPr>
                <w:rFonts w:ascii="Times New Roman" w:hAnsi="仿宋" w:eastAsia="仿宋" w:cs="Times New Roman"/>
                <w:kern w:val="0"/>
                <w:sz w:val="24"/>
              </w:rPr>
              <w:t>注重学术性，内容充实，信息量合适，渗透专业思想，能够支撑课程目标</w:t>
            </w:r>
            <w:r>
              <w:rPr>
                <w:rFonts w:hint="eastAsia" w:ascii="Times New Roman" w:hAnsi="仿宋" w:eastAsia="仿宋" w:cs="Times New Roman"/>
                <w:kern w:val="0"/>
                <w:sz w:val="24"/>
              </w:rPr>
              <w:t>；</w:t>
            </w:r>
          </w:p>
          <w:p>
            <w:pPr>
              <w:spacing w:line="480" w:lineRule="exact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仿宋" w:eastAsia="仿宋" w:cs="Times New Roman"/>
                <w:kern w:val="0"/>
                <w:sz w:val="24"/>
              </w:rPr>
              <w:t>3</w:t>
            </w:r>
            <w:r>
              <w:rPr>
                <w:rFonts w:hint="eastAsia" w:ascii="Times New Roman" w:hAnsi="仿宋" w:eastAsia="仿宋" w:cs="Times New Roman"/>
                <w:kern w:val="0"/>
                <w:sz w:val="24"/>
              </w:rPr>
              <w:t>、</w:t>
            </w:r>
            <w:r>
              <w:rPr>
                <w:rFonts w:ascii="Times New Roman" w:hAnsi="仿宋" w:eastAsia="仿宋" w:cs="Times New Roman"/>
                <w:kern w:val="0"/>
                <w:sz w:val="24"/>
              </w:rPr>
              <w:t>重点突出，条理清楚，内容承前启后，循序渐进</w:t>
            </w:r>
            <w:r>
              <w:rPr>
                <w:rFonts w:hint="eastAsia" w:ascii="Times New Roman" w:hAnsi="仿宋" w:eastAsia="仿宋" w:cs="Times New Roman"/>
                <w:kern w:val="0"/>
                <w:sz w:val="24"/>
              </w:rPr>
              <w:t>；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112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仿宋" w:eastAsia="仿宋" w:cs="Times New Roman"/>
                <w:kern w:val="0"/>
                <w:sz w:val="24"/>
              </w:rPr>
              <w:t>教学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仿宋" w:eastAsia="仿宋" w:cs="Times New Roman"/>
                <w:kern w:val="0"/>
                <w:sz w:val="24"/>
              </w:rPr>
              <w:t>组织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25</w:t>
            </w:r>
            <w:r>
              <w:rPr>
                <w:rFonts w:ascii="Times New Roman" w:hAnsi="仿宋" w:eastAsia="仿宋" w:cs="Times New Roman"/>
                <w:kern w:val="0"/>
                <w:sz w:val="24"/>
              </w:rPr>
              <w:t>分</w:t>
            </w:r>
          </w:p>
        </w:tc>
        <w:tc>
          <w:tcPr>
            <w:tcW w:w="5953" w:type="dxa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rPr>
                <w:rFonts w:ascii="Times New Roman" w:hAnsi="仿宋" w:eastAsia="仿宋" w:cs="Times New Roman"/>
                <w:kern w:val="0"/>
                <w:sz w:val="24"/>
              </w:rPr>
            </w:pPr>
            <w:r>
              <w:rPr>
                <w:rFonts w:hint="eastAsia" w:ascii="Times New Roman" w:hAnsi="仿宋" w:eastAsia="仿宋" w:cs="Times New Roman"/>
                <w:kern w:val="0"/>
                <w:sz w:val="24"/>
              </w:rPr>
              <w:t>1、能够根据学生对知识的掌握程度开展教学；</w:t>
            </w:r>
          </w:p>
          <w:p>
            <w:pPr>
              <w:spacing w:line="480" w:lineRule="exact"/>
              <w:rPr>
                <w:rFonts w:ascii="Times New Roman" w:hAnsi="仿宋" w:eastAsia="仿宋" w:cs="Times New Roman"/>
                <w:kern w:val="0"/>
                <w:sz w:val="24"/>
              </w:rPr>
            </w:pPr>
            <w:r>
              <w:rPr>
                <w:rFonts w:hint="eastAsia" w:ascii="Times New Roman" w:hAnsi="仿宋" w:eastAsia="仿宋" w:cs="Times New Roman"/>
                <w:kern w:val="0"/>
                <w:sz w:val="24"/>
              </w:rPr>
              <w:t>2、教学手段</w:t>
            </w:r>
            <w:r>
              <w:rPr>
                <w:rFonts w:ascii="Times New Roman" w:hAnsi="仿宋" w:eastAsia="仿宋" w:cs="Times New Roman"/>
                <w:kern w:val="0"/>
                <w:sz w:val="24"/>
              </w:rPr>
              <w:t>运用灵活、恰当，完整地实施课程设计方案</w:t>
            </w:r>
            <w:r>
              <w:rPr>
                <w:rFonts w:hint="eastAsia" w:ascii="Times New Roman" w:hAnsi="仿宋" w:eastAsia="仿宋" w:cs="Times New Roman"/>
                <w:kern w:val="0"/>
                <w:sz w:val="24"/>
              </w:rPr>
              <w:t>；</w:t>
            </w:r>
          </w:p>
          <w:p>
            <w:pPr>
              <w:spacing w:line="480" w:lineRule="exact"/>
              <w:rPr>
                <w:rFonts w:ascii="Times New Roman" w:hAnsi="仿宋" w:eastAsia="仿宋" w:cs="Times New Roman"/>
                <w:kern w:val="0"/>
                <w:sz w:val="24"/>
              </w:rPr>
            </w:pPr>
            <w:r>
              <w:rPr>
                <w:rFonts w:ascii="Times New Roman" w:hAnsi="仿宋" w:eastAsia="仿宋" w:cs="Times New Roman"/>
                <w:kern w:val="0"/>
                <w:sz w:val="24"/>
              </w:rPr>
              <w:t>2</w:t>
            </w:r>
            <w:r>
              <w:rPr>
                <w:rFonts w:hint="eastAsia" w:ascii="Times New Roman" w:hAnsi="仿宋" w:eastAsia="仿宋" w:cs="Times New Roman"/>
                <w:kern w:val="0"/>
                <w:sz w:val="24"/>
              </w:rPr>
              <w:t>、</w:t>
            </w:r>
            <w:r>
              <w:rPr>
                <w:rFonts w:ascii="Times New Roman" w:hAnsi="仿宋" w:eastAsia="仿宋" w:cs="Times New Roman"/>
                <w:kern w:val="0"/>
                <w:sz w:val="24"/>
              </w:rPr>
              <w:t>启发性强，能有效调动学生思维和学习积极性</w:t>
            </w:r>
            <w:r>
              <w:rPr>
                <w:rFonts w:hint="eastAsia" w:ascii="Times New Roman" w:hAnsi="仿宋" w:eastAsia="仿宋" w:cs="Times New Roman"/>
                <w:kern w:val="0"/>
                <w:sz w:val="24"/>
              </w:rPr>
              <w:t>；</w:t>
            </w:r>
          </w:p>
          <w:p>
            <w:pPr>
              <w:spacing w:line="480" w:lineRule="exact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仿宋" w:eastAsia="仿宋" w:cs="Times New Roman"/>
                <w:kern w:val="0"/>
                <w:sz w:val="24"/>
              </w:rPr>
              <w:t>3</w:t>
            </w:r>
            <w:r>
              <w:rPr>
                <w:rFonts w:hint="eastAsia" w:ascii="Times New Roman" w:hAnsi="仿宋" w:eastAsia="仿宋" w:cs="Times New Roman"/>
                <w:kern w:val="0"/>
                <w:sz w:val="24"/>
              </w:rPr>
              <w:t>、</w:t>
            </w:r>
            <w:r>
              <w:rPr>
                <w:rFonts w:ascii="Times New Roman" w:hAnsi="仿宋" w:eastAsia="仿宋" w:cs="Times New Roman"/>
                <w:kern w:val="0"/>
                <w:sz w:val="24"/>
              </w:rPr>
              <w:t>多媒体设计与教学内容紧密联系，多媒体</w:t>
            </w:r>
            <w:r>
              <w:rPr>
                <w:rFonts w:hint="eastAsia" w:ascii="Times New Roman" w:hAnsi="仿宋" w:eastAsia="仿宋" w:cs="Times New Roman"/>
                <w:kern w:val="0"/>
                <w:sz w:val="24"/>
              </w:rPr>
              <w:t>内容和</w:t>
            </w:r>
            <w:r>
              <w:rPr>
                <w:rFonts w:ascii="Times New Roman" w:hAnsi="仿宋" w:eastAsia="仿宋" w:cs="Times New Roman"/>
                <w:kern w:val="0"/>
                <w:sz w:val="24"/>
              </w:rPr>
              <w:t>结构合理</w:t>
            </w:r>
            <w:r>
              <w:rPr>
                <w:rFonts w:hint="eastAsia" w:ascii="Times New Roman" w:hAnsi="仿宋" w:eastAsia="仿宋" w:cs="Times New Roman"/>
                <w:kern w:val="0"/>
                <w:sz w:val="24"/>
              </w:rPr>
              <w:t>；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  <w:jc w:val="center"/>
        </w:trPr>
        <w:tc>
          <w:tcPr>
            <w:tcW w:w="112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仿宋" w:eastAsia="仿宋" w:cs="Times New Roman"/>
                <w:kern w:val="0"/>
                <w:sz w:val="24"/>
              </w:rPr>
              <w:t>语言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仿宋" w:eastAsia="仿宋" w:cs="Times New Roman"/>
                <w:kern w:val="0"/>
                <w:sz w:val="24"/>
              </w:rPr>
              <w:t>教态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10</w:t>
            </w:r>
            <w:r>
              <w:rPr>
                <w:rFonts w:ascii="Times New Roman" w:hAnsi="仿宋" w:eastAsia="仿宋" w:cs="Times New Roman"/>
                <w:kern w:val="0"/>
                <w:sz w:val="24"/>
              </w:rPr>
              <w:t>分</w:t>
            </w:r>
          </w:p>
        </w:tc>
        <w:tc>
          <w:tcPr>
            <w:tcW w:w="5953" w:type="dxa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rPr>
                <w:rFonts w:ascii="Times New Roman" w:hAnsi="仿宋" w:eastAsia="仿宋" w:cs="Times New Roman"/>
                <w:kern w:val="0"/>
                <w:sz w:val="24"/>
              </w:rPr>
            </w:pPr>
            <w:r>
              <w:rPr>
                <w:rFonts w:hint="eastAsia" w:ascii="Times New Roman" w:hAnsi="仿宋" w:eastAsia="仿宋" w:cs="Times New Roman"/>
                <w:kern w:val="0"/>
                <w:sz w:val="24"/>
              </w:rPr>
              <w:t>1、</w:t>
            </w:r>
            <w:r>
              <w:rPr>
                <w:rFonts w:ascii="Times New Roman" w:hAnsi="仿宋" w:eastAsia="仿宋" w:cs="Times New Roman"/>
                <w:kern w:val="0"/>
                <w:sz w:val="24"/>
              </w:rPr>
              <w:t>普通话讲课，语言表达清晰、流畅、准确、生动，语速恰当</w:t>
            </w:r>
            <w:r>
              <w:rPr>
                <w:rFonts w:hint="eastAsia" w:ascii="Times New Roman" w:hAnsi="仿宋" w:eastAsia="仿宋" w:cs="Times New Roman"/>
                <w:kern w:val="0"/>
                <w:sz w:val="24"/>
              </w:rPr>
              <w:t>；</w:t>
            </w:r>
          </w:p>
          <w:p>
            <w:pPr>
              <w:spacing w:line="480" w:lineRule="exact"/>
              <w:rPr>
                <w:rFonts w:ascii="Times New Roman" w:hAnsi="仿宋" w:eastAsia="仿宋" w:cs="Times New Roman"/>
                <w:kern w:val="0"/>
                <w:sz w:val="24"/>
              </w:rPr>
            </w:pPr>
            <w:r>
              <w:rPr>
                <w:rFonts w:ascii="Times New Roman" w:hAnsi="仿宋" w:eastAsia="仿宋" w:cs="Times New Roman"/>
                <w:kern w:val="0"/>
                <w:sz w:val="24"/>
              </w:rPr>
              <w:t>2</w:t>
            </w:r>
            <w:r>
              <w:rPr>
                <w:rFonts w:hint="eastAsia" w:ascii="Times New Roman" w:hAnsi="仿宋" w:eastAsia="仿宋" w:cs="Times New Roman"/>
                <w:kern w:val="0"/>
                <w:sz w:val="24"/>
              </w:rPr>
              <w:t>、</w:t>
            </w:r>
            <w:r>
              <w:rPr>
                <w:rFonts w:ascii="Times New Roman" w:hAnsi="仿宋" w:eastAsia="仿宋" w:cs="Times New Roman"/>
                <w:kern w:val="0"/>
                <w:sz w:val="24"/>
              </w:rPr>
              <w:t>教态自然大方得体，精神饱满，肢体语言运用合理、恰当</w:t>
            </w:r>
            <w:r>
              <w:rPr>
                <w:rFonts w:hint="eastAsia" w:ascii="Times New Roman" w:hAnsi="仿宋" w:eastAsia="仿宋" w:cs="Times New Roman"/>
                <w:kern w:val="0"/>
                <w:sz w:val="24"/>
              </w:rPr>
              <w:t>；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12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仿宋" w:eastAsia="仿宋" w:cs="Times New Roman"/>
                <w:kern w:val="0"/>
                <w:sz w:val="24"/>
              </w:rPr>
              <w:t>教学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仿宋" w:eastAsia="仿宋" w:cs="Times New Roman"/>
                <w:kern w:val="0"/>
                <w:sz w:val="24"/>
              </w:rPr>
              <w:t>特色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10</w:t>
            </w:r>
            <w:r>
              <w:rPr>
                <w:rFonts w:ascii="Times New Roman" w:hAnsi="仿宋" w:eastAsia="仿宋" w:cs="Times New Roman"/>
                <w:kern w:val="0"/>
                <w:sz w:val="24"/>
              </w:rPr>
              <w:t>分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" w:cs="Times New Roman"/>
                <w:spacing w:val="-16"/>
                <w:kern w:val="0"/>
                <w:sz w:val="24"/>
              </w:rPr>
            </w:pPr>
            <w:r>
              <w:rPr>
                <w:rFonts w:ascii="Times New Roman" w:hAnsi="仿宋" w:eastAsia="仿宋" w:cs="Times New Roman"/>
                <w:spacing w:val="-16"/>
                <w:kern w:val="0"/>
                <w:sz w:val="24"/>
              </w:rPr>
              <w:t>教学理念先进，风格突出，感染力强，教学效果好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b/>
                <w:kern w:val="0"/>
                <w:sz w:val="28"/>
                <w:szCs w:val="28"/>
              </w:rPr>
              <w:t>合计（</w:t>
            </w:r>
            <w:r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  <w:t>100</w:t>
            </w:r>
            <w:r>
              <w:rPr>
                <w:rFonts w:ascii="Times New Roman" w:hAnsi="仿宋" w:eastAsia="仿宋" w:cs="Times New Roman"/>
                <w:b/>
                <w:kern w:val="0"/>
                <w:sz w:val="28"/>
                <w:szCs w:val="28"/>
              </w:rPr>
              <w:t>分）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>
      <w:pPr>
        <w:ind w:firstLine="482" w:firstLineChars="200"/>
        <w:jc w:val="left"/>
        <w:rPr>
          <w:rFonts w:ascii="Times New Roman" w:hAnsi="Times New Roman" w:eastAsia="仿宋" w:cs="Times New Roman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b/>
          <w:bCs/>
          <w:kern w:val="0"/>
          <w:sz w:val="24"/>
        </w:rPr>
        <w:t>注：评分可保留小数点后一位</w:t>
      </w:r>
    </w:p>
    <w:sectPr>
      <w:footerReference r:id="rId3" w:type="default"/>
      <w:pgSz w:w="11906" w:h="16838"/>
      <w:pgMar w:top="1440" w:right="737" w:bottom="107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rPr>
        <w:lang w:val="zh-CN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FlM2Y0MmQ2NDU3YzE0MWFmNTA3YjY0ZmZjYjc4ZTIifQ=="/>
  </w:docVars>
  <w:rsids>
    <w:rsidRoot w:val="009641C9"/>
    <w:rsid w:val="001457A2"/>
    <w:rsid w:val="001A41B3"/>
    <w:rsid w:val="00323665"/>
    <w:rsid w:val="003B7054"/>
    <w:rsid w:val="003C0B21"/>
    <w:rsid w:val="00415E9B"/>
    <w:rsid w:val="004C6597"/>
    <w:rsid w:val="00514889"/>
    <w:rsid w:val="007359B7"/>
    <w:rsid w:val="0079778B"/>
    <w:rsid w:val="00824FF9"/>
    <w:rsid w:val="00885487"/>
    <w:rsid w:val="008A6E05"/>
    <w:rsid w:val="009119D0"/>
    <w:rsid w:val="00933863"/>
    <w:rsid w:val="009543E7"/>
    <w:rsid w:val="009641C9"/>
    <w:rsid w:val="009D1C64"/>
    <w:rsid w:val="009E0CC8"/>
    <w:rsid w:val="00A53A3A"/>
    <w:rsid w:val="00A77978"/>
    <w:rsid w:val="00AA1F16"/>
    <w:rsid w:val="00AB7A6D"/>
    <w:rsid w:val="00AD1C31"/>
    <w:rsid w:val="00AE2032"/>
    <w:rsid w:val="00B123C3"/>
    <w:rsid w:val="00B55834"/>
    <w:rsid w:val="00C220E4"/>
    <w:rsid w:val="00C861D1"/>
    <w:rsid w:val="00DA0E07"/>
    <w:rsid w:val="00E305F1"/>
    <w:rsid w:val="00E83554"/>
    <w:rsid w:val="00EA7947"/>
    <w:rsid w:val="00EF4046"/>
    <w:rsid w:val="00FA3F5F"/>
    <w:rsid w:val="030B6529"/>
    <w:rsid w:val="036A591C"/>
    <w:rsid w:val="0B00324F"/>
    <w:rsid w:val="0F517245"/>
    <w:rsid w:val="1DCF2631"/>
    <w:rsid w:val="24804088"/>
    <w:rsid w:val="27327256"/>
    <w:rsid w:val="27AD77B8"/>
    <w:rsid w:val="27E6038A"/>
    <w:rsid w:val="2E4B0054"/>
    <w:rsid w:val="3163566D"/>
    <w:rsid w:val="337671BE"/>
    <w:rsid w:val="36A65FFB"/>
    <w:rsid w:val="37BF0805"/>
    <w:rsid w:val="424C070D"/>
    <w:rsid w:val="5BAF1AC3"/>
    <w:rsid w:val="5FE377F5"/>
    <w:rsid w:val="7A74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qFormat/>
    <w:uiPriority w:val="99"/>
    <w:pPr>
      <w:jc w:val="left"/>
    </w:pPr>
  </w:style>
  <w:style w:type="paragraph" w:styleId="3">
    <w:name w:val="Date"/>
    <w:basedOn w:val="1"/>
    <w:next w:val="1"/>
    <w:link w:val="22"/>
    <w:qFormat/>
    <w:uiPriority w:val="99"/>
    <w:pPr>
      <w:ind w:left="100" w:leftChars="2500"/>
    </w:pPr>
  </w:style>
  <w:style w:type="paragraph" w:styleId="4">
    <w:name w:val="Balloon Text"/>
    <w:basedOn w:val="1"/>
    <w:link w:val="18"/>
    <w:qFormat/>
    <w:uiPriority w:val="99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8">
    <w:name w:val="annotation subject"/>
    <w:basedOn w:val="2"/>
    <w:next w:val="2"/>
    <w:link w:val="19"/>
    <w:qFormat/>
    <w:uiPriority w:val="99"/>
    <w:rPr>
      <w:b/>
      <w:bCs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qFormat/>
    <w:uiPriority w:val="99"/>
    <w:rPr>
      <w:color w:val="0000FF"/>
      <w:u w:val="single"/>
    </w:rPr>
  </w:style>
  <w:style w:type="character" w:styleId="13">
    <w:name w:val="annotation reference"/>
    <w:basedOn w:val="10"/>
    <w:qFormat/>
    <w:uiPriority w:val="99"/>
    <w:rPr>
      <w:sz w:val="21"/>
      <w:szCs w:val="21"/>
    </w:rPr>
  </w:style>
  <w:style w:type="character" w:customStyle="1" w:styleId="14">
    <w:name w:val="apple-converted-space"/>
    <w:basedOn w:val="10"/>
    <w:qFormat/>
    <w:uiPriority w:val="0"/>
  </w:style>
  <w:style w:type="character" w:customStyle="1" w:styleId="15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7">
    <w:name w:val="批注文字 字符"/>
    <w:basedOn w:val="10"/>
    <w:link w:val="2"/>
    <w:qFormat/>
    <w:uiPriority w:val="99"/>
  </w:style>
  <w:style w:type="character" w:customStyle="1" w:styleId="18">
    <w:name w:val="批注框文本 字符"/>
    <w:basedOn w:val="10"/>
    <w:link w:val="4"/>
    <w:qFormat/>
    <w:uiPriority w:val="99"/>
    <w:rPr>
      <w:sz w:val="18"/>
      <w:szCs w:val="18"/>
    </w:rPr>
  </w:style>
  <w:style w:type="character" w:customStyle="1" w:styleId="19">
    <w:name w:val="批注主题 字符"/>
    <w:basedOn w:val="17"/>
    <w:link w:val="8"/>
    <w:qFormat/>
    <w:uiPriority w:val="99"/>
    <w:rPr>
      <w:b/>
      <w:bCs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21">
    <w:name w:val="Revision_ec5e332d-bf50-4650-aa9e-b1591c7af17a"/>
    <w:qFormat/>
    <w:uiPriority w:val="99"/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customStyle="1" w:styleId="22">
    <w:name w:val="日期 字符"/>
    <w:basedOn w:val="10"/>
    <w:link w:val="3"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426</Words>
  <Characters>434</Characters>
  <Lines>3</Lines>
  <Paragraphs>1</Paragraphs>
  <TotalTime>13</TotalTime>
  <ScaleCrop>false</ScaleCrop>
  <LinksUpToDate>false</LinksUpToDate>
  <CharactersWithSpaces>441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2022-06-01T00:17:00Z</dcterms:created>
  <dc:creator>dreamsummit</dc:creator>
  <cp:lastModifiedBy>windows</cp:lastModifiedBy>
  <cp:lastPrinted>2022-04-29T01:58:00Z</cp:lastPrinted>
  <dcterms:modified xsi:type="dcterms:W3CDTF">2023-06-02T09:28:14Z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3151678ABB374143BEEA322527D0E848_13</vt:lpwstr>
  </property>
</Properties>
</file>